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8" w:rsidRPr="00D72A89" w:rsidRDefault="00D72A89" w:rsidP="00AE36D9">
      <w:pPr>
        <w:pStyle w:val="12"/>
        <w:shd w:val="clear" w:color="auto" w:fill="auto"/>
        <w:spacing w:after="0" w:line="240" w:lineRule="auto"/>
        <w:ind w:right="23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72A89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="00AE36D9" w:rsidRPr="00D72A8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№ 2</w:t>
      </w:r>
      <w:r w:rsidR="00FF68E6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</w:p>
    <w:p w:rsidR="00FF68E6" w:rsidRPr="00BC4C4A" w:rsidRDefault="00FF68E6" w:rsidP="00FF68E6">
      <w:pPr>
        <w:widowControl w:val="0"/>
        <w:shd w:val="clear" w:color="auto" w:fill="FFFFFF"/>
        <w:spacing w:after="0" w:line="240" w:lineRule="auto"/>
        <w:ind w:right="20"/>
        <w:contextualSpacing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0" w:name="_GoBack"/>
      <w:bookmarkEnd w:id="0"/>
    </w:p>
    <w:p w:rsidR="00FF68E6" w:rsidRPr="00BC4C4A" w:rsidRDefault="00FF68E6" w:rsidP="00FF68E6">
      <w:pPr>
        <w:pStyle w:val="ad"/>
        <w:widowControl w:val="0"/>
        <w:ind w:right="20" w:firstLine="0"/>
        <w:rPr>
          <w:b w:val="0"/>
          <w:bCs w:val="0"/>
          <w:szCs w:val="28"/>
        </w:rPr>
      </w:pPr>
      <w:r w:rsidRPr="00BC4C4A">
        <w:rPr>
          <w:i/>
          <w:iCs/>
          <w:szCs w:val="28"/>
        </w:rPr>
        <w:t>Тема:</w:t>
      </w:r>
      <w:r w:rsidRPr="00BC4C4A">
        <w:rPr>
          <w:iCs/>
          <w:szCs w:val="28"/>
        </w:rPr>
        <w:t xml:space="preserve"> </w:t>
      </w:r>
      <w:r w:rsidRPr="00BC4C4A">
        <w:rPr>
          <w:szCs w:val="28"/>
        </w:rPr>
        <w:t>А</w:t>
      </w:r>
      <w:r w:rsidRPr="00BC4C4A">
        <w:rPr>
          <w:color w:val="000000"/>
          <w:szCs w:val="28"/>
        </w:rPr>
        <w:t xml:space="preserve">втономна (вегетативна) </w:t>
      </w:r>
      <w:r w:rsidRPr="00BC4C4A">
        <w:rPr>
          <w:szCs w:val="28"/>
        </w:rPr>
        <w:t>нервова система</w:t>
      </w:r>
    </w:p>
    <w:p w:rsidR="00FF68E6" w:rsidRPr="00BC4C4A" w:rsidRDefault="00FF68E6" w:rsidP="00FF68E6">
      <w:pPr>
        <w:widowControl w:val="0"/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68E6" w:rsidRPr="00BC4C4A" w:rsidRDefault="00FF68E6" w:rsidP="00FF68E6">
      <w:pPr>
        <w:widowControl w:val="0"/>
        <w:shd w:val="clear" w:color="auto" w:fill="FFFFFF"/>
        <w:spacing w:after="0" w:line="240" w:lineRule="auto"/>
        <w:ind w:right="20"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План:</w:t>
      </w:r>
    </w:p>
    <w:p w:rsidR="00FF68E6" w:rsidRPr="00BF0840" w:rsidRDefault="00FF68E6" w:rsidP="00FF68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Парасимпатична частина автономного відділу периферійної нервової системи.</w:t>
      </w:r>
    </w:p>
    <w:p w:rsidR="00FF68E6" w:rsidRPr="00AD6249" w:rsidRDefault="00FF68E6" w:rsidP="00FF68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F08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Симпатична частина автономного відділу периферійної нервової системи.</w:t>
      </w:r>
    </w:p>
    <w:p w:rsidR="00FF68E6" w:rsidRPr="00CA2D2B" w:rsidRDefault="00FF68E6" w:rsidP="00FF68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D62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Метасимпатична частина автономного відділу периферійної нервової системи.</w:t>
      </w:r>
    </w:p>
    <w:p w:rsidR="00FF68E6" w:rsidRPr="00CA2D2B" w:rsidRDefault="00FF68E6" w:rsidP="00FF68E6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Нутрощеві сплетення та нутрощеві вузли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</w:p>
    <w:p w:rsidR="00FF68E6" w:rsidRPr="00BC4C4A" w:rsidRDefault="00FF68E6" w:rsidP="00FF68E6">
      <w:pPr>
        <w:pStyle w:val="1"/>
        <w:shd w:val="clear" w:color="auto" w:fill="FFFFFF"/>
        <w:spacing w:before="0" w:beforeAutospacing="0" w:after="0" w:afterAutospacing="0"/>
        <w:ind w:right="20"/>
        <w:jc w:val="both"/>
        <w:rPr>
          <w:b w:val="0"/>
          <w:bCs w:val="0"/>
          <w:sz w:val="28"/>
          <w:szCs w:val="28"/>
          <w:lang w:val="uk-UA"/>
        </w:rPr>
      </w:pP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1. Парасимпатична частина автономного відділу периферійної нервової системи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Парасимпатична частина автономного відділу периферійної нервової системи (або, за традиційною термінологією, – периферійний відділ парасимпатичної частини вегетативної нервової системи) представлений передвузловими волокнами, що йдуть у складі ІІІ, VII, ІХ і Х пар черепних нервів і тазових нутрощевих нервів, парасимпатичними вузлами (позаорганними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внутрішньоорганними), а також відповідними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завузловими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волокнами.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Позаорганні парасимпатичні вузли розміщені поблизу органів, що іннервуються. До них належать п’ять великих парасимпатичних вузлів голови (війковий, крило-піднебінний, піднижньощелепний, під’язиковий, вушний), а також парасимпатичні тазові вузли.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цих вузлів підходять три типи нервів чи корінців: чутливі, симпатичні та парасимпатичні. Перших два типи волокон проходять транзитом, при цьому чутливі волокна несуть інформацію до мозку, а симпатичні (завузлові) – до органів, що ними іннервуються. Волокна парасимпатичних корінців закінчуються на нейронах вузлів. Аксони цих нейронів утворюють завузлові волокна, які досягають органа, що іннервується. Периферійні гілки описаних вузлів утворені трьома різновидами волокон (чутливими, симпатичними і парасимпатичними).</w:t>
      </w:r>
    </w:p>
    <w:p w:rsidR="00FF68E6" w:rsidRPr="00C8180D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C81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Війковий вузол (ganglion ciliare)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непостійну форму та величину (його довжина в середньому складає 2 мм).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узол лежить у товщі жирової тканини у задньому відділі очної ямки на зовнішній поверхні зорового нерва. </w:t>
      </w:r>
      <w:r w:rsidRPr="00C81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Війковий вузол має три корінці:</w:t>
      </w:r>
    </w:p>
    <w:p w:rsidR="00FF68E6" w:rsidRPr="00C8180D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парасимпатичний корінець (radix parasympathica)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утворений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гілкою окорухового нерва до війкового вузла,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r. n. oculomotorius ad ganglion ciliare;</w:t>
      </w:r>
    </w:p>
    <w:p w:rsidR="00FF68E6" w:rsidRPr="00C8180D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sympathica);</w:t>
      </w:r>
    </w:p>
    <w:p w:rsidR="00FF68E6" w:rsidRPr="00C8180D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чутливий корінець (radix sensoria)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сполучною гілкою носовійкового нерва з війковим вузлом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(r. communicans n. nasociliaris cum ganglio ciliare).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Завузлові парасимпатичні волокна цього вузла у складі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коротких війкових нервів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(nn. ciliares breves)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прямують до очного яблука, пронизують склеру й іннервують війковий м’яз та м’яз-звужувач зіниці.</w:t>
      </w:r>
    </w:p>
    <w:p w:rsidR="00FF68E6" w:rsidRPr="00C8180D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C4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Крило-піднебінний вузол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(ganglion pterygopalatinum)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розміром близько 5 мм, розміщений у крилопіднебінній ямці збоку від клино-піднебінного отвору. </w:t>
      </w:r>
      <w:r w:rsidRPr="00C81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Крило-піднебінний вузол має три корінці: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парасимпатичний корінець (radix parasympathica)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великим кам’янистим нервом (n. petrosus major)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глибоким кам’янистим нервом (n. petrosus profundus)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C8180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чутливий корінець (radix sensoria)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C8180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вузловими гілками верхньощелепного нерва (rr. ganglionares n. maxillaris).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Завузлові пара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симпатичні волокна цього вузла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скла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ді гілок верхньощелепного нерва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забезпечують секреторну іннервацію залоз слизової оболонки порожнини носа, рота, глотки та сльозової залози.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C4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Піднижньощелепний вузол (ganglion submandibulare)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розміром близько 3 мм, лежить на піднижньощелепній слинній залозі під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lingualis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5F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Піднижньощелепний вузол має три корінці: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парасимпатичний корінець (radix parasympathica)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барабанною струною (chorda tympani)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sympathica);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чутливий корінець (radix sensoria)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вузловими гілками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піднижньощелепного нерва (rr. ganglionares n. mandibularis).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Завузлові парасимпатичні волокна цього вузла забезпечують секреторну іннервацію піднижньощелепної та під’язикової слинних залоз.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C4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Під’язиковий вузол (ganglion sublinguale)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дуже мінливий за будовою, інколи розміщується на бічній поверхні під’язикової слинної залози, але частіше є скупченням нейронів по ходу гілок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lingualis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під’язикової залози. </w:t>
      </w:r>
      <w:r w:rsidRPr="005F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Під’язиковий вузол має три корінці: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парасимпатичний корінець (radix parasympathica)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барабанною струною (chorda tympani);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sympathica);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чутливий корінець (radix sensoria)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вузловими гілками піднижньощелепного нерва (rr. ganglionares n. mandibularis).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Завузлові парасимпатичні волокна цього вузла забезпечують секреторну іннервацію під’язикової залози.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C4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Вушний вузол (ganglion oticum)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розміром близько 3 мм, розміщений у підскроневій ямці присередньо від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mandibularis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 овальним отвором. </w:t>
      </w:r>
      <w:r w:rsidRPr="005F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Вушний вузол має три корінці: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парасимпатичний корінець (radix parasympathica)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малим кам’янистим нервом (n. petrosus minor);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sympathica);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чутливий корінець (radix sensoria)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вузловими гілками піднижньощелепного нерва (rr. ganglionares n. mandibularis)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Завузлові парасимпатичні волокна цього вузла забезпечують секреторну іннервацію привушної слинної залози.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F62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Тазові вузли (ganglia pelvica)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розміщені у складі нижнього підчеревного сплетення та інших тазових вегетативних сплетень. 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5F62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Кожен з них має три корінці:</w:t>
      </w:r>
    </w:p>
    <w:p w:rsidR="00FF68E6" w:rsidRPr="005F628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симпатичний корінець (radix sympathica);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парасимпатичний корінець (radix parasympathica)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тазовими нутрощевими нервами (nn. splanchnici pelvici)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3) </w:t>
      </w:r>
      <w:r w:rsidRPr="005F62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чутливий корінець (radix sensoria)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утворений </w:t>
      </w:r>
      <w:r w:rsidRPr="005F62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nn. splanchnici pelvici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</w:t>
      </w:r>
      <w:r w:rsidRPr="00BF084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йдуть від передніх гілок 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ІV крижових нервів (більша частина їхніх волокон є передвузловими парасимпатичними, менша – чутливими). </w:t>
      </w:r>
      <w:r w:rsidRPr="00BF08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Nn. splanchnici pelvici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забезпечують парасимпатичну та чутливу іннервацію органів малого таза та кишкового тракту нижче низхідної ободової кишки.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описаних великих парасимпатичних вузлів, які мають відповідні корінці, є дрібні парасимпатичні </w:t>
      </w:r>
      <w:r w:rsidRPr="00BF08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вузли автономних сплетень (gg. plexuum autonomicum)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Ці парасимпатичні вузли розміщені у позаорганних та внутрішньоорганних вегетативних сплетеннях паренхіматозних органів шиї, грудної, черевної і тазової порожнин. Передвузлові парасимпатичні волокна йдуть до них у складі гілок блукаючого нерва і тазових нутрощевих нервів.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Крім того, раніше виділяли дрібні інтрамуральні парасимпатичні вузли, що входять до складу інтрамуральних нервових сплетень, які розміщені в різних шарах стінок трубчастих органів. Нині їх розглядають як складову метасимпатичної частини автономного 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ПНС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F68E6" w:rsidRPr="00BF0840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BF084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2. Симпатична частина автономного відділу периферійної нервової системи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Симпатична частина автономного відділу периферійної нервової системи (або, за традиційною термінологією, – периферійний відділ симпатичної частини вегетативної нервової системи) представлений передвузловими та завузловими волокнами, а також прихребтовими (вузлами симпатичного стовбура) та передхребтовими (нутрощевими вузлами, або вузлами нутрощевих сплетень) симпатичними вузлами.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симпатичних вузлах відбувається мультиплікація: одне передвузлове волокно передає сигнал до багатьох завузлових нейронів, відбувається “розмноження” сигналу. Завдяки цьому вплив симпатичної системи набуває генералізованого характеру. Далі в симпатичних вузлах може відбуватися змикання місцевих (периферійних) рефлексів – здійснюється майже автономна регуляція діяльності органа.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Прихребтові симпатичні вузли розміщені з боків хребтового стовпа у вигляді парного ланцюга – </w:t>
      </w:r>
      <w:r w:rsidRPr="00D31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симпатичного стовбура (truncus sympathicus)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Симпатичний стовбур загалом складається з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вузлів симпатичного стовбура (ganglia trunci sympathici)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з’єднаних між собою короткими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міжвузловими гілками (rr. interganglionares)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Кількість вузлів симпатичного стовбура, відповідно до поділу хребтового стовпа, наближається до кількості хребців даної ділянки (за винятком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шийного і куприкового відділів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).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Вузли симпатичного стовбура зв’язані з сусідніми спинномозковими нервами за допомогою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сполучних гілок (rr. communicantes)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Розрізняють білі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сірі сполучні гілки.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Білі сполучні гілки (rr. communicantes albi)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складаються з мієлінових передвузлових волокон, утворених аксонами нейронів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nucleus intermediolateralis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бічних рогів тораколюмбального відділу спинного мозку. Ці волокна йдуть у складі передніх корінців спинномозкових нервів 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після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їх з’єднання із задніми корінцями відокремлюються, прямуючи до найближчого вузла симпатичного стовбура. Від цих вузлів до всіх спинномозкових нервів відходять </w:t>
      </w:r>
      <w:r w:rsidRPr="00D31B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сірі сполучні гілки (rr. communicantes grisei)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складаються з безмієлінових завузлових волокон, утворених аксонами нейронів цих вузлів. Увійшовши в кожний спинномозковий нерв, завузлові симпатичні волокна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йдуть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периферію, досягаючи робочих органів.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624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Шийний відділ симпатичного стовбура містить три вузли: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верхній, середній і нижній.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624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Верхній шийний вузол (ganglion cervicale superius)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найбільший з усіх вузлів симпатичного стовбура (завдовжки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біля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 см), має веретеноподібну форму і розміщується спереду поперечних відростків 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ІІІ шийних хребців позаду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carotis interna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Від верхнього шийного вузла відходять: яремний нерв, внутрішній сонний нерв, зовнішні сонні нерви, гортанно-глоткові гілки, верхній шийний серцевий нерв.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6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Внутрішній сонний нерв (n. caroticus internus)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разом з шийною частиною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carotis interna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піднімається до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canalis caroticus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і, супроводжуючи артерію в каналі, утворює навколо неї внутрішнє сонне сплетення, яке потім переходить у печеристе сплетення. З останнього починаються сплетення, які оточують гілки мозкової частини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carotis interna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6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Зовнішні сонні нерви (nn. carotici externi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)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мають вигляд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тонких стовбурців, які утворюють зовнішнє сонне сплетення. Останнє дає початок сплетенням, які супровод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жують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 гілки зовнішньої сонної артерії.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E624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Гортанно-глоткові гілки (rr. laryngopharyngei)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частково йдуть з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laryngeus superior (</w:t>
      </w:r>
      <w:r w:rsidRPr="00BE624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гілка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n. vagus)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 гортані; частково йдуть разом з глотковими гілками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vagus et n. glossopharyngeus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беруть участь в утворенні глоткового сплетення у стінці глотки; частково йдуть разом зі стравохідними гілками </w:t>
      </w:r>
      <w:r w:rsidRPr="00BE624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vagus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приймаючи участь в утворенні стравохідного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12E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Верхній шийний серцевий нерв (n. cardiacus cervicalis superior)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спускається присередньо від симпатичного стовбура, перетинає ззаду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a. thyroidea inferior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прямує до серцевого сплетення: з правого боку – уздовж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truncus brachiocephalicus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 лівого – уздовж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carotis communis sinistra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12E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Середній шийний вузол (ganglion cervicale medium)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має незначні розміри і лежить на рівні VI шийного хребця. Від цього вузла відходить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середній шийний серцевий нерв (n. cardiacus cervicalis medius)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який, спускаючись позаду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carotis communis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іде до серцевого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12E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Нижній шийний вузол (ganglion cervicale inferior)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розміщується позаду </w:t>
      </w:r>
      <w:r w:rsidRPr="00912E8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subclavia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біля початку a. vertebralis. Цей вузол часто зливається з верхнім грудним вузлом у </w:t>
      </w:r>
      <w:r w:rsidRPr="00912E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шийно-грудний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або </w:t>
      </w:r>
      <w:r w:rsidRPr="00912E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зірчастий вузол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12E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(ganglion cervicothoracicum seu ganglion stellatum)</w:t>
      </w:r>
      <w:r w:rsidRPr="00912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Нижній шийний вузол віддає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нижній шийний серцевий нерв (n. cardiacus cervicalis inferior)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спускається до серцевого сплетення, та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хребтовий нерв (n. vertebralis)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утворює навколо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vertebralis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хребтове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Грудний відділ симпатичного стовбура містить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-</w:t>
      </w:r>
      <w:r w:rsidRPr="00B518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12 вузлів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лежать спереду головок ребер (тільки два нижні – на бічній поверхні тіл хребців).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Грудні вузли (ganglia thoracica)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віддають: грудні серцеві гілки, грудні легеневі гілки, стравохідні гілки, великий нутрощевий нерв, малий нутрощевий нерв, найнижчий нутрощевий нерв.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Грудні серцеві гілки (rr. cardiaci thoracici)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утворені завузловими симпатичними та аферентними (больовими) волокнами ІІ–IV грудних вузлів; беруть участь в утворенні серцевого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Грудні легеневі гілки (rr. pulmonares thoracici)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утворені волокнами ІІ–IV грудних вузлів; беруть участь в утворенні легеневого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Стравохідні гілки (rr. oesophageales)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утворені волокнами ІІ–V грудних вузлів; беруть участь в утворенні стравохідного сплетення.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Великий нутрощевий нерв (n. splanchnicus major)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від V–IX грудних вузлів корінцями, які, йдучи медіально і донизу по бічній поверхні хребців, з’єднуються один з одним у стовбур. Останній спускається попереду хребтового стовпа і разом з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v. azygos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проходить через поперекову частину діафрагми у черевну порожнину і входить до складу черевного сплетення. У товщі великого нутрощевого нерва на рівні IX грудного хребця розміщений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грудний нутрощевий вузол (ganglion thoracicum splanchnicum)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Малий нутрощевий нерв (n. splanchnicus minor)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починається корінцями від X–XI грудних вузлів, іде латеральніше попереднього через діафрагму і досягає черевного сплетення. Значна частина волокон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n. splanchnicus minor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формує ниркову гілку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(r. renalis)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яка прямує до ниркового сплетення. 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ниркового сплетення від XII грудного вузла йде також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найнижчий нутрощевий нерв (n. splanchnicus imus)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18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Поперековий відділ симпатичного стовбура складається з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-</w:t>
      </w:r>
      <w:r w:rsidRPr="00B518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5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поперекових вузлів (ganglia lumbalia)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розміщених на передній поверхні тіл хребців, уздовж присереднього краю </w:t>
      </w:r>
      <w:r w:rsidRPr="00B5182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m. psoas major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Від поперекових вузлів у медіальному напрямі відходять </w:t>
      </w:r>
      <w:r w:rsidRPr="00E95C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поперекові нутрощеві нерви (nn. splanchnici lumbales)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лягають на передню поверхню поперекових хребців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утворюю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ть сплетення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прямують далі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нутрощевих сплетень черевної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порожнини.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95C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Крижово-куприковий відділ симпатичного стовбура складається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4</w:t>
      </w:r>
      <w:r w:rsidRPr="00E95C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пар </w:t>
      </w:r>
      <w:r w:rsidRPr="00E95C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крижових вузлів (ganglia sacrales)</w:t>
      </w:r>
      <w:r w:rsidRPr="00E95C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і одного </w:t>
      </w:r>
      <w:r w:rsidRPr="00E95C8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куприкового непарного вузла (ganglion impar)</w:t>
      </w:r>
      <w:r w:rsidRPr="00E95C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Крижові вузли розміщені на тазовій поверхні крижової кістки медіальн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 від передніх крижових отворів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Чим нижче, тим вузли дрібніші і тим ближче вони лежать до серединної площини. Від останньої пари вузлів відходять каудально міжвузлові гілки до непарного вузла. Непарний вузол має незначні розміри і лежить на передній поверхні тіла І куприкового хребця. Таким чином, обидва ланцюжки симпатичного стовбура внизу змикаються. Від крижових вузлів відходять тонкі крижові </w:t>
      </w:r>
      <w:r w:rsidRPr="00E95C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нутрощеві нерви (nn. splanchnici sacrales)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беруть участь у формуванні нутрощевих сплетень тазової порожнини.</w:t>
      </w:r>
    </w:p>
    <w:p w:rsidR="00FF68E6" w:rsidRPr="00AD6249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AD624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lastRenderedPageBreak/>
        <w:t>3. Метасимпатична частина автономного відділу периферійної нервової системи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 </w:t>
      </w: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Ноздрачовим А.Д.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увів поняття </w:t>
      </w: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“метасимпатична система”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дана частина автономного відділу периферійної нервової системи вирізняється відносною простотою. Тут немає ядерних структур і система представлена лише комплексом інтрамуральних дрібновузлових структур, що залягають у стінках порожнистих органів, які мають моторну активність. Ідеться про наявність дрібних вузлів (подібно до внутрішньоорганних вузлів парасимпатичної частини) в серці, бронхах, шлунку, кишці, сечовому міхурі, сечівнику, матці, сім’явиносних шляхах. 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дповідно до ділянок іннервації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метасимпатичній частині автономного відділу периферійної нервової системи виділяти кардіальну, респіраторну, ентеральну та інші частини.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думку </w:t>
      </w: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Ноздрачова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метасимпатична частина автономного відділу периферійної нервової системи може, по-перше, здійснювати передачу центральних впливів, оскільки парасимпатичні і симпатичні волокна можуть контактувати з метасимпатичною частиною і тим самим контролювати її вплив на об’єкти управління. По-друге, метасимпатична частина може виконувати роль самостійного інтегруючого утворення, оскільки в ній є готові рефлекторні дуги, що містять аферентні, вставні та еферентні нейрони.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Найбільш вивчена метасимпатична іннервація шлунково-кишкового тракту, в якому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4718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кишкове сплетення (plexus entericus)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складається з:</w:t>
      </w:r>
    </w:p>
    <w:p w:rsidR="00FF68E6" w:rsidRPr="00AD6249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підсерозного сплетення (plexus subserosus)</w:t>
      </w:r>
      <w:r w:rsidRPr="00AD62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F68E6" w:rsidRPr="00AD6249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м’язово-кишкового сплетення (plexus myentericus)</w:t>
      </w:r>
      <w:r w:rsidRPr="00AD62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сплетення Ауербаха;</w:t>
      </w:r>
    </w:p>
    <w:p w:rsidR="00FF68E6" w:rsidRPr="00AD6249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підслизового сплетення (plexus submucosus)</w:t>
      </w:r>
      <w:r w:rsidRPr="00AD62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D62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сплетення Мейснера.</w:t>
      </w:r>
    </w:p>
    <w:p w:rsidR="00FF68E6" w:rsidRPr="00747185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кожному із цих сплетень є численні дрібні вузли, в яких виділяють </w:t>
      </w:r>
      <w:r w:rsidRPr="007471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три типи нейронів (за </w:t>
      </w:r>
      <w:r w:rsidRPr="0074718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ru-RU"/>
        </w:rPr>
        <w:t>Догелем</w:t>
      </w:r>
      <w:r w:rsidRPr="0074718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):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Нейрони І типу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еферентними нейронами, 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он яких безпосередньо контактує з м’язовою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клітиною, яку іннервує. </w:t>
      </w:r>
      <w:r w:rsidRPr="00DA4D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Нейрони ІІ типу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є аферентними нейронами. Частина аксонів цих нейронів переключається на нейрони І типу. У таких випадках рефлекторна дуга замикається на рівні дрібного вузл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(мікроганглія). Друга частина аксонів нейронів ІІ типу йде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прихребтового або передхребтового вузлів, переключаючись у них на інші нейрони. Нарешті, ще одна 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стина аксонів нейронів ІІ типу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досягає нейронів спинного мозку, переключаючись у них на інші нейрони. Отже, аферентна імпульсація, що йде від мікрогангліїв, може замикатися 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ізних рівнях. </w:t>
      </w:r>
      <w:r w:rsidRPr="00DA4D3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Нейрони ІІІ 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 асоціативними нейронами, за участю яких відбувається формування місцевих рефлекторних дуг.</w:t>
      </w:r>
    </w:p>
    <w:p w:rsidR="00FF68E6" w:rsidRPr="00BC4C4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шлунково-кишковому тракті метасимпатична частина автономного відділу периферійної нервової системи здійснює регуляцію складних рухів різних відділів кишки, в тому числі ритмічних, маятникоподібних, перистальтичних та антиперистальтичних. Очевидно, що для кожного із перелічених видів рухів існує свій метасимпатичний модуль, активація якого відбувається залежно від складу хімусу в даному відділі кишки. Інакше кажучи, завдяки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метасимпатичним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рефлекторним дугам, активація яких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проходить при збудженні хемо-, механо-, баро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 терморецепторів кишки, можлива регуляція його моторики, що пов’язана з процесом гідролізу і всмоктування поживних речовин у шлунково-кишковому тракті.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даними Ноздрачова, метасимпатичні модулі здійснюють місцеву регуляцію не тільки скорочення гладеньких м’язів, але й всмоктування, епітеліальної секреції, продукції гормонів, а також інтенсивності місцевих імунних процесів.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Багаторічні дослідження дозволяють відкинути уявлення про те, що метасимпатична нервова система є лише дифузним парасимпатичним вузлом або третім нейроном в еферентній ланці симпатичного шляху. Очевидно, що метасимпатична система, як складова частина вегетативної нервової системи, є незалежною самостійною системою, функцію якої можна порівняти з мікропроцесором, що розташований поблизу ефекторів. Те, що апарат, необхідний для постійного контролю за кожною з вісцеральних функцій, розміщувати в ЦНС недоцільно, підтверджується таким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прикладом: тільки в кишці 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метасимпатична система має таку ж кількість клітин, що й увесь спинний мозок, а кількість метасимпатичних нейронів на 1 см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ru-RU"/>
        </w:rPr>
        <w:t>2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верхні кишки складає близько 20</w:t>
      </w:r>
      <w:r w:rsidRPr="00BC4C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000. Існування спеціальних місцевих метасимпатичних механізмів регуляції функцій має певний фізіологічний зміст. Вони збільшують надійність регуляції функцій, ця регуляція може відбуватися навіть у випадку втрати зв’язку з центральними структурами.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цьому ЦНС звільнюється від надлишкової інформації.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4. Нутрощеві сплетення та нутрощеві вузли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CA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Нутрощеві сплетення (plexus viscerales)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розміщені у порожнинах тіла, переважно попереду аорти та її гілок, навколо внутрішніх органів (позаорганні сплетення) і у внутрішніх органах (внутрішньоорганні сплетення). </w:t>
      </w:r>
      <w:r w:rsidRPr="00DA4D3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Ці сплетення складаються з:</w:t>
      </w:r>
    </w:p>
    <w:p w:rsidR="00FF68E6" w:rsidRPr="00DA4D33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нутрощевих вузлів (ganglia visceralia)</w:t>
      </w:r>
      <w:r w:rsidRPr="00DA4D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передхребтових, позаорганних і внутрішньоорганних;</w:t>
      </w:r>
    </w:p>
    <w:p w:rsidR="00FF68E6" w:rsidRPr="00DA4D33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передвузлових вегетативних волокон;</w:t>
      </w:r>
    </w:p>
    <w:p w:rsidR="00FF68E6" w:rsidRPr="00DA4D33" w:rsidRDefault="00FF68E6" w:rsidP="00FF68E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завузлових вегетативних волокон.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Саме у вузлах сплетень відбувається поступове (за чергою вузла) та поетапне переключення передвузлових симпатичних та парасимпатичних вегетативних волокон на завузлові.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топографією розрізняють черепно-шийну, грудну, черевну і тазову частини нутрощевих сплетень та нутрощевих вузлів.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черепно-шийної частини (pars craniocervicalis)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нутрощевих сплетень належать: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1) загальне сонне сплетення (plexus caroticus communis);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2) внутрішнє сонне сплетення (plexus caroticus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internus);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3) печеристе сплетення (plexus cavernosus);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4) зовнішнє сонне сплетення (plexus caroticus externus);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5) підключичне сплетення (plexus subclavius);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6) автономне плечове сплетення (plexus autonomicus brachialis);</w:t>
      </w:r>
    </w:p>
    <w:p w:rsidR="00FF68E6" w:rsidRPr="00DA4D33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7) хребтове сплетення (plexus vertebralis).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Від внутрішнього сонного сплетення відходять </w:t>
      </w:r>
      <w:r w:rsidRPr="00DA4D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сонно-барабанні нерви (nn. caroticotympanici)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йдуть через однойменні канальці скроневої кістки до барабанної порожнини та симпатичні корінці до парасимпатичних (війковий, крило-піднебінний, піднижньощелепний, під’язиковий, вушний) вузлів.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грудної частини (pars thoracica)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нутрощевих сплетень належать: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грудне аортальне сплетення;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серцеве сплетення;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стравохідне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сплетення;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4) легеневе сплетення.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A4D3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Грудне аортальне сплетення (plexus aorticus thoracicus)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розміщене на стінці грудної частини аорти, утворене гілками 5 верхніх грудних вузлів симпатичного стовбура, гілками великого нутрощевого нерва та чутливими волокнами блукаючого нерва. Від грудного аортального сплетення відходять нерви, які оточують і супроводять гілки грудної частини аорти.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4E2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Серцеве сплетення (plexus cardіacus)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 позаорганним сплетенням і утворюється трьома парами серцевих нервів із шийних вузлів симпатичного стовбура і однойменними серцевими гілками шийного та грудного відділів блукаючого нерва. Симпатичні волокна у складі серцевих гілок здійснюють прискорюючий (збільшення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ЧСС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і посилюючий ефекти на діяльність серця (збільшення сили серцевих скорочень), а також передають відчуття серцевого болю. Парасимпатичні волокна у складі серцевих нервів здійснюють сповільнюючий (зменше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ння частоти серцевих скорочень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і послаблюючий ефекти на діяльність серця (зменшення сили серцевих скорочень), а також передають неприємні (крім больових) відчуття від серця. </w:t>
      </w:r>
    </w:p>
    <w:p w:rsidR="00FF68E6" w:rsidRPr="00084E27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084E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Із перелічених джерел формуються дві частини серцевого сплетення: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поверхнева частина, яка залягає між увігнутою поверхнею дуги аорти і місцем роздвоєння легеневого стовбура;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глибока частина, яка міститься позаду дуги аорти – між нею і роздвоєнням трахеї.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Сплетення продовжується вниз на поверхню серця, розповсюджуючись по ходу вінцевих артерій і продовжуючись у внутрішньоорганні сплетення (кардіальна область метасимпатичної частини автономного відділу периферійної нервової системи). Серцеве сплетення містить групи невеликих </w:t>
      </w:r>
      <w:r w:rsidRPr="00084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серцевих вузлів (ganglia cardiaca)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які розміщені навколо дуги аорти.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Видатний український анатом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84E2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В.П. Воробйов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застосувавши ним розроблений макро-мікроскопічний метод, з’ясував, що на самому серці нерви формують шість окремих сплетень, які чітко розрізняються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два передні сплетення, два задні, одне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ій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поверхні передсердь і одне – в ділянці косої пазухи осердя між легеневими венами і задньою стінкою осердя (ділянка пазухи Галлера).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4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Передні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3549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ліве і праве</w:t>
      </w: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(перше і друге)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спускаються – перше зліва, друге справа від легеневого стовбура і аорти на шлуночки і, залягаючи спочатку з обох боків артеріального конуса, іннервують відповідну частину передньої стінки шлуночків, даючи стовбурці до міокарда, судин, перикарда, а також до передніх відділів перегородок шлуночків, передсердь і ендокарда.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84E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Задні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(третє і четверте)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розміщені складніше.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Третє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залягає вздовж верхн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ьої межі між передсердями і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переходить на задню стінку правого шлуночка, іннервуючи зовнішню і задню стінки правого передсердя і задню стінку лівого шлуночка.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Четверте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віддає гілки до міокарда передсердь і задніх стінок шлуночків, до їхніх судин, до відповідних частин ендокарда, а також стовбурці до верхніх і задніх відділів міжпередсердної і міжшлуночкової перегородок і до передсердно-шлуночкового пучка.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П’яте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на передній стінці обох передсердь і, іннервуючи її, дає гілки до передньої частини міжпередсердної і міжшлуночкової перегородок.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Шосте сплетення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(сплетення пазухи Галлера) лежить у верхньому відділі задньої стінки лівого передсердя і іннервує прилеглі до нього частини.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Стравохідне сплетення (plexus oesophagealis)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навколо стравоходу і утворене стравохідними гілками грудних вузлів симпатичного стовбура та стравохідними гілками поворотного гортанного нерва.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9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Легеневе сплетення (plexus pulmonalis)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навколо кореня легені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утворюється грудними легеневими гілками, які йдуть від ІІІ–ІV грудних вузлів симпатичного стовбура, та брон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ховими гілками блукаючого нерва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Посередині між коренями обох легень праве та ліве легеневі сплетення з’єднуються одне з одним та з серцевим сплетенням.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</w:t>
      </w:r>
      <w:r w:rsidRPr="003549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черевної частини (pars abdominalis)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нутрощевих сплетень належать численні сплетення та вузли; найважливішим з них є </w:t>
      </w:r>
      <w:r w:rsidRPr="003549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черевне аортальне сплетення (plexus aorticus abdominalis)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Волокна черевного аортального сплетення розповсюджуються з гілками черевної частини аорти, утворюючи разом з гілками блукаючого та нутрощевих нервів інші сплетення черевної порожнини.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Найбільшим з нутрощевих сплетень черевної порожнини є </w:t>
      </w:r>
      <w:r w:rsidRPr="003549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черевне сплетення (plexus coeliacus)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яке оточує черевний стовбур. Черевне сплетення утворене гілками черевного аортального сплетення, блукаючого нерва, великого та малого нутрощевих нервів, діафрагмового нерва. До черевного сплетення належать найбільші передхребтові вузли: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1)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черевні вузли (ganglia coeliaca)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два півмісяцевої форми вузли, які розміщені з обох боків черевного стовбура;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2)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аортально-ниркові вузли (ganglia aorticorenalia)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два вузли, які розміщені біля місця відходження від аорти ниркової артерії.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вузлах черевного сплетення розміщені тіла третіх нейронів простих рефлекторних дуг симпатичної нервової системи, на які переключається частина передвузлових симпатичних волокон.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Інша ч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астина передвузлових симпатичних волокон, завузлові симпатичні волокна, передвузлові парасимпатичні волокна, чутливі волокна діафрагмового нерва – проходять через черевне сплетення транзитом, супроводжують артерії, які входять від черевного стовбура, і беруть участь в утворенні періартеріальних та органних сплетень. </w:t>
      </w:r>
      <w:r w:rsidRPr="00183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Серед них виділяють: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1) печінкове сплетення (plexus hepaticus);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2) селезінкове сплетення (plexus lienalis);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3) шлункове сплетення (plexus gastricus);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4) підшлунковозалозове сплетення (plexus pancreaticus);</w:t>
      </w:r>
    </w:p>
    <w:p w:rsidR="00FF68E6" w:rsidRPr="00183EF8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5) надниркове сплетення (plexus suprarenalis).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стінці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mesenterica superior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верхнє брижове сплетення (plexus mesentericus superior)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гілки якого оточують і супроводжують усі розгалуження цієї артерії. До складу цього сплетення належить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верхній брижовий вузол (ganglion mesentericus superior)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розміщений біля місця відходження від аорти верхньої брижової артерії.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стінці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mesenterica inferior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нижнє брижове сплетення (plexus mesentericus inferior),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гілки якого оточують і супроводжують усі розгалуження цієї артерії. До складу цього сплетення належать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нижній брижовий вузол (ganglion mesentericus inferior)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розміщений біля місця відходження від аорти нижньої брижової артерії. Гілки нижнього брижового сплетення, які оточують верхню прямокишкову артерію, формують на стінці прямої кишки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верхнє прямокишкове сплетення (plexus rectalis superior)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Частина черевного аортального сплетення між місцями початку верхньої та нижньої брижових артерій називається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міжбрижовим сплетенням (plexus intermesentericus)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Ниркове сплетення (plexus renalis)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оточує ниркову артерію і містить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ниркові вузли (ganglia renalia)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Сечовідне сплетення (plexus uretericus)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розміщене навколо сечоводу і утворене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волокнами черевного аортального та ниркового сплетень. Ці сплетення формують також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яєчникове (яєчкове) сплетення, plexus ovaricus (testicularis)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яке оточує відповідні однойменні артерії.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Супроводжуючи гілки брижових артерій, волокна брижових сплетень формують у стінці тонкої та товстої кишок </w:t>
      </w:r>
      <w:r w:rsidRPr="00A83AE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кишкове сплетення (plexus entericus)</w:t>
      </w:r>
      <w:r w:rsidRPr="00A83A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,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яке є важливою складовою частиною метасимпатичної частини автономного 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ПНС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ишкове сплетення складається з трьох сплетень: пі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дсерозного, м’язово-кишкового,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підслизового.</w:t>
      </w:r>
    </w:p>
    <w:p w:rsidR="00FF68E6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Продовженням черевного аортального сплетення є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клубове сплетення (plexus iliacus)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яке супроводжує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iliaca communis et a. iliaca externa.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Продовженням клубового сплетення є </w:t>
      </w: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стегнове сплетення (plexus femoralis)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яке супроводжує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a. femoralis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тазової частини (pars pelvica)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нутрощевих сплетень належать: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 верхнє підчеревне сплетення;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2) нижнє підчеревне сплетення.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Верхнє підчеревне сплетення (plexus hypogastricus superior)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непарне, розміщене під роздвоєнням аорти біля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promontorium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Нижче </w:t>
      </w:r>
      <w:r w:rsidRPr="00183EF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promontorium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нижня частина сплетення роздвоюється на правий та лівий підчеревні нерви, які з’єднують непарне верхнє підчеревне сплетення з парним нижнім.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83E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 xml:space="preserve">Нижнє підчеревне сплетення (plexus hypogastricus inferior)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утворене симпатичними волокнами підчеревного нерва, крижовими нутрощевими нервами та парасимпатичними волокнами тазових нутрощевих нервів. Гілки нижнього підчеревного сплетення продовжуються по ходу гілок </w:t>
      </w: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a. iliaca </w:t>
      </w: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lastRenderedPageBreak/>
        <w:t>interna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утворюючи численні періартеріальні та органні сплетення, які забезпечують вегетативну іннервацію тазових органів. </w:t>
      </w:r>
      <w:r w:rsidRPr="007B66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Серед них виділяють: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середнє прямокишкове сплетення;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2) нижнє прямокишкове сплетення, яке віддає верхні відхідникові нерви;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3) матково-піхвове сплетення (у жінок), яке віддає піхвові нерви;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4) передміхурово-залозове сплетення (у чоловіків);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5) сплетення сім’явиносної протоки (у чоловіків);</w:t>
      </w:r>
    </w:p>
    <w:p w:rsidR="00FF68E6" w:rsidRPr="007B66AA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7B66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6) міхурове сплетення.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нижнього підчеревного сплетення відходять також печеристі нерви клітора (у жінок) або печеристі нерви статевого члена (у чоловіків).</w:t>
      </w:r>
    </w:p>
    <w:p w:rsidR="00FF68E6" w:rsidRPr="00CA2D2B" w:rsidRDefault="00FF68E6" w:rsidP="00FF68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Таким чином, 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більшість нутрощевих сплетень неоднорідні за складом волокон, розташовані навколо артерій (періартеріально) і всі є складовими частинами умовного, безперервного “за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гального аортального сплетення”</w:t>
      </w:r>
      <w:r w:rsidRPr="00CA2D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F68E6" w:rsidRPr="00CA2D2B" w:rsidRDefault="00FF68E6" w:rsidP="00FF68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332B4" w:rsidRPr="00D72A89" w:rsidRDefault="007332B4" w:rsidP="00CB391D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7332B4" w:rsidRPr="00D72A89" w:rsidSect="00040102">
      <w:footerReference w:type="default" r:id="rId9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17" w:rsidRDefault="00466517" w:rsidP="00874C9C">
      <w:pPr>
        <w:spacing w:after="0" w:line="240" w:lineRule="auto"/>
      </w:pPr>
      <w:r>
        <w:separator/>
      </w:r>
    </w:p>
  </w:endnote>
  <w:endnote w:type="continuationSeparator" w:id="0">
    <w:p w:rsidR="00466517" w:rsidRDefault="00466517" w:rsidP="0087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254715"/>
      <w:docPartObj>
        <w:docPartGallery w:val="Page Numbers (Bottom of Page)"/>
        <w:docPartUnique/>
      </w:docPartObj>
    </w:sdtPr>
    <w:sdtEndPr/>
    <w:sdtContent>
      <w:p w:rsidR="00F47B11" w:rsidRDefault="00F47B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8E6">
          <w:rPr>
            <w:noProof/>
          </w:rPr>
          <w:t>11</w:t>
        </w:r>
        <w:r>
          <w:fldChar w:fldCharType="end"/>
        </w:r>
      </w:p>
    </w:sdtContent>
  </w:sdt>
  <w:p w:rsidR="00F47B11" w:rsidRDefault="00F47B1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17" w:rsidRDefault="00466517" w:rsidP="00874C9C">
      <w:pPr>
        <w:spacing w:after="0" w:line="240" w:lineRule="auto"/>
      </w:pPr>
      <w:r>
        <w:separator/>
      </w:r>
    </w:p>
  </w:footnote>
  <w:footnote w:type="continuationSeparator" w:id="0">
    <w:p w:rsidR="00466517" w:rsidRDefault="00466517" w:rsidP="0087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93B"/>
    <w:multiLevelType w:val="hybridMultilevel"/>
    <w:tmpl w:val="97E247D0"/>
    <w:lvl w:ilvl="0" w:tplc="EEDCF71C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10656"/>
    <w:multiLevelType w:val="multilevel"/>
    <w:tmpl w:val="A1A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C3BBB"/>
    <w:multiLevelType w:val="multilevel"/>
    <w:tmpl w:val="59FE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C93C58"/>
    <w:multiLevelType w:val="multilevel"/>
    <w:tmpl w:val="D47A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D6DB6"/>
    <w:multiLevelType w:val="multilevel"/>
    <w:tmpl w:val="6CFC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F75AE"/>
    <w:multiLevelType w:val="multilevel"/>
    <w:tmpl w:val="B750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75A1D"/>
    <w:multiLevelType w:val="hybridMultilevel"/>
    <w:tmpl w:val="CD503570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543A80"/>
    <w:multiLevelType w:val="multilevel"/>
    <w:tmpl w:val="F8C2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014ECC"/>
    <w:multiLevelType w:val="hybridMultilevel"/>
    <w:tmpl w:val="251635FA"/>
    <w:lvl w:ilvl="0" w:tplc="D18A4B24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5561B88"/>
    <w:multiLevelType w:val="hybridMultilevel"/>
    <w:tmpl w:val="C6705D8E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B665DD"/>
    <w:multiLevelType w:val="multilevel"/>
    <w:tmpl w:val="33E6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A5B95"/>
    <w:multiLevelType w:val="multilevel"/>
    <w:tmpl w:val="6028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6752D6"/>
    <w:multiLevelType w:val="multilevel"/>
    <w:tmpl w:val="39DC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C7133"/>
    <w:multiLevelType w:val="hybridMultilevel"/>
    <w:tmpl w:val="4AD68A66"/>
    <w:lvl w:ilvl="0" w:tplc="85D82B1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C4E43D2"/>
    <w:multiLevelType w:val="hybridMultilevel"/>
    <w:tmpl w:val="1C6C9AFA"/>
    <w:lvl w:ilvl="0" w:tplc="0C766F32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 w:numId="14">
    <w:abstractNumId w:val="13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B1"/>
    <w:rsid w:val="000061AE"/>
    <w:rsid w:val="0001166B"/>
    <w:rsid w:val="00013E0B"/>
    <w:rsid w:val="0002446B"/>
    <w:rsid w:val="0003212A"/>
    <w:rsid w:val="00040102"/>
    <w:rsid w:val="00041E6B"/>
    <w:rsid w:val="000542A2"/>
    <w:rsid w:val="0006121D"/>
    <w:rsid w:val="00080F27"/>
    <w:rsid w:val="000847C2"/>
    <w:rsid w:val="0009531D"/>
    <w:rsid w:val="000B0447"/>
    <w:rsid w:val="000B6602"/>
    <w:rsid w:val="000C648F"/>
    <w:rsid w:val="000D06B5"/>
    <w:rsid w:val="000D3C37"/>
    <w:rsid w:val="000E38A9"/>
    <w:rsid w:val="000E3D95"/>
    <w:rsid w:val="00100890"/>
    <w:rsid w:val="00110714"/>
    <w:rsid w:val="0011696E"/>
    <w:rsid w:val="00120031"/>
    <w:rsid w:val="001301F2"/>
    <w:rsid w:val="00133A9F"/>
    <w:rsid w:val="00155CF2"/>
    <w:rsid w:val="00164B24"/>
    <w:rsid w:val="0017430A"/>
    <w:rsid w:val="00194461"/>
    <w:rsid w:val="001A0295"/>
    <w:rsid w:val="001A08AB"/>
    <w:rsid w:val="001A2226"/>
    <w:rsid w:val="001B0998"/>
    <w:rsid w:val="001B1934"/>
    <w:rsid w:val="001B1E1F"/>
    <w:rsid w:val="001C641A"/>
    <w:rsid w:val="001E07B1"/>
    <w:rsid w:val="001F3586"/>
    <w:rsid w:val="001F5C9E"/>
    <w:rsid w:val="0020661E"/>
    <w:rsid w:val="00207FE0"/>
    <w:rsid w:val="0021780B"/>
    <w:rsid w:val="00230BBE"/>
    <w:rsid w:val="00232819"/>
    <w:rsid w:val="002436C2"/>
    <w:rsid w:val="00270813"/>
    <w:rsid w:val="00272E2E"/>
    <w:rsid w:val="002878E4"/>
    <w:rsid w:val="00296BFD"/>
    <w:rsid w:val="002A3F06"/>
    <w:rsid w:val="002A4A03"/>
    <w:rsid w:val="002A5B2B"/>
    <w:rsid w:val="002B3EFE"/>
    <w:rsid w:val="002B7E1E"/>
    <w:rsid w:val="002C1BEE"/>
    <w:rsid w:val="002D76B4"/>
    <w:rsid w:val="002E129B"/>
    <w:rsid w:val="0030332B"/>
    <w:rsid w:val="00304F95"/>
    <w:rsid w:val="00311380"/>
    <w:rsid w:val="00313815"/>
    <w:rsid w:val="00314AF8"/>
    <w:rsid w:val="003432A1"/>
    <w:rsid w:val="00346D52"/>
    <w:rsid w:val="00354782"/>
    <w:rsid w:val="003625B6"/>
    <w:rsid w:val="00363DF1"/>
    <w:rsid w:val="00366096"/>
    <w:rsid w:val="00385CED"/>
    <w:rsid w:val="003970A7"/>
    <w:rsid w:val="003B0232"/>
    <w:rsid w:val="003B7A8C"/>
    <w:rsid w:val="003C21ED"/>
    <w:rsid w:val="003C72F2"/>
    <w:rsid w:val="003F5B6A"/>
    <w:rsid w:val="003F7D4C"/>
    <w:rsid w:val="00403CFC"/>
    <w:rsid w:val="004127D8"/>
    <w:rsid w:val="00424ECA"/>
    <w:rsid w:val="00456DB1"/>
    <w:rsid w:val="004631C9"/>
    <w:rsid w:val="00466517"/>
    <w:rsid w:val="004676FB"/>
    <w:rsid w:val="00475120"/>
    <w:rsid w:val="004856DC"/>
    <w:rsid w:val="00490CF8"/>
    <w:rsid w:val="0049625A"/>
    <w:rsid w:val="004B1047"/>
    <w:rsid w:val="004C107C"/>
    <w:rsid w:val="004C5F14"/>
    <w:rsid w:val="004F210A"/>
    <w:rsid w:val="004F796E"/>
    <w:rsid w:val="0050113B"/>
    <w:rsid w:val="00517486"/>
    <w:rsid w:val="0052419B"/>
    <w:rsid w:val="00526EB9"/>
    <w:rsid w:val="00534BEE"/>
    <w:rsid w:val="005351D2"/>
    <w:rsid w:val="00536BD8"/>
    <w:rsid w:val="0053759A"/>
    <w:rsid w:val="00541ED4"/>
    <w:rsid w:val="00542508"/>
    <w:rsid w:val="005460A5"/>
    <w:rsid w:val="005522DA"/>
    <w:rsid w:val="00564E5F"/>
    <w:rsid w:val="00595687"/>
    <w:rsid w:val="005A6B29"/>
    <w:rsid w:val="005B08D1"/>
    <w:rsid w:val="005B47E8"/>
    <w:rsid w:val="005C7237"/>
    <w:rsid w:val="005D4251"/>
    <w:rsid w:val="005D5B8F"/>
    <w:rsid w:val="005E75D6"/>
    <w:rsid w:val="005F29CB"/>
    <w:rsid w:val="005F683E"/>
    <w:rsid w:val="00603D5A"/>
    <w:rsid w:val="00621F5D"/>
    <w:rsid w:val="00651AE5"/>
    <w:rsid w:val="00667230"/>
    <w:rsid w:val="0067361B"/>
    <w:rsid w:val="00686CFD"/>
    <w:rsid w:val="00695384"/>
    <w:rsid w:val="006A7139"/>
    <w:rsid w:val="006B55B1"/>
    <w:rsid w:val="006D0D89"/>
    <w:rsid w:val="006D7935"/>
    <w:rsid w:val="00704EF6"/>
    <w:rsid w:val="0071335B"/>
    <w:rsid w:val="007176FF"/>
    <w:rsid w:val="00727702"/>
    <w:rsid w:val="007332B4"/>
    <w:rsid w:val="00734299"/>
    <w:rsid w:val="00737D7B"/>
    <w:rsid w:val="007404E8"/>
    <w:rsid w:val="00740BC7"/>
    <w:rsid w:val="00744C74"/>
    <w:rsid w:val="00751A33"/>
    <w:rsid w:val="0076317E"/>
    <w:rsid w:val="0076362F"/>
    <w:rsid w:val="007637B0"/>
    <w:rsid w:val="007713B1"/>
    <w:rsid w:val="00773C7F"/>
    <w:rsid w:val="00776A8F"/>
    <w:rsid w:val="00791F6D"/>
    <w:rsid w:val="007C07B0"/>
    <w:rsid w:val="007C217E"/>
    <w:rsid w:val="007C7B5D"/>
    <w:rsid w:val="007D5870"/>
    <w:rsid w:val="007D798D"/>
    <w:rsid w:val="007E11CE"/>
    <w:rsid w:val="007F0B4F"/>
    <w:rsid w:val="00812153"/>
    <w:rsid w:val="008308DA"/>
    <w:rsid w:val="008346C2"/>
    <w:rsid w:val="00834EC1"/>
    <w:rsid w:val="008354CC"/>
    <w:rsid w:val="00866C65"/>
    <w:rsid w:val="00874C9C"/>
    <w:rsid w:val="0088000D"/>
    <w:rsid w:val="008842E0"/>
    <w:rsid w:val="008B4A58"/>
    <w:rsid w:val="008B4A68"/>
    <w:rsid w:val="008D372B"/>
    <w:rsid w:val="008D6A26"/>
    <w:rsid w:val="00900D79"/>
    <w:rsid w:val="00902472"/>
    <w:rsid w:val="00935009"/>
    <w:rsid w:val="009430EF"/>
    <w:rsid w:val="00950753"/>
    <w:rsid w:val="00952D0D"/>
    <w:rsid w:val="00957793"/>
    <w:rsid w:val="0096488C"/>
    <w:rsid w:val="00982CE9"/>
    <w:rsid w:val="0098454A"/>
    <w:rsid w:val="00987C46"/>
    <w:rsid w:val="009B0829"/>
    <w:rsid w:val="009C638B"/>
    <w:rsid w:val="009E34A8"/>
    <w:rsid w:val="009F3285"/>
    <w:rsid w:val="009F483F"/>
    <w:rsid w:val="009F4B86"/>
    <w:rsid w:val="00A01E47"/>
    <w:rsid w:val="00A1083E"/>
    <w:rsid w:val="00A1626E"/>
    <w:rsid w:val="00A23264"/>
    <w:rsid w:val="00A24CB9"/>
    <w:rsid w:val="00A33BEB"/>
    <w:rsid w:val="00A42AC2"/>
    <w:rsid w:val="00A51FD3"/>
    <w:rsid w:val="00A5674B"/>
    <w:rsid w:val="00A66EF7"/>
    <w:rsid w:val="00A73412"/>
    <w:rsid w:val="00A73B84"/>
    <w:rsid w:val="00AA3620"/>
    <w:rsid w:val="00AA789F"/>
    <w:rsid w:val="00AD48E6"/>
    <w:rsid w:val="00AD5187"/>
    <w:rsid w:val="00AE36D9"/>
    <w:rsid w:val="00AF00D7"/>
    <w:rsid w:val="00B017FC"/>
    <w:rsid w:val="00B1623C"/>
    <w:rsid w:val="00B21FC2"/>
    <w:rsid w:val="00B47758"/>
    <w:rsid w:val="00B56F2E"/>
    <w:rsid w:val="00B61B25"/>
    <w:rsid w:val="00B63E7A"/>
    <w:rsid w:val="00B6537B"/>
    <w:rsid w:val="00B66243"/>
    <w:rsid w:val="00B7093B"/>
    <w:rsid w:val="00B84B5A"/>
    <w:rsid w:val="00BB31E0"/>
    <w:rsid w:val="00BD03D3"/>
    <w:rsid w:val="00BD4F34"/>
    <w:rsid w:val="00BE72E3"/>
    <w:rsid w:val="00BF6DEC"/>
    <w:rsid w:val="00C0182F"/>
    <w:rsid w:val="00C0454F"/>
    <w:rsid w:val="00C32E16"/>
    <w:rsid w:val="00C4693A"/>
    <w:rsid w:val="00CB16FF"/>
    <w:rsid w:val="00CB391D"/>
    <w:rsid w:val="00CB55BF"/>
    <w:rsid w:val="00CC7301"/>
    <w:rsid w:val="00CE0F2E"/>
    <w:rsid w:val="00D00987"/>
    <w:rsid w:val="00D12B4A"/>
    <w:rsid w:val="00D21D74"/>
    <w:rsid w:val="00D40222"/>
    <w:rsid w:val="00D467C2"/>
    <w:rsid w:val="00D4741A"/>
    <w:rsid w:val="00D66617"/>
    <w:rsid w:val="00D67A30"/>
    <w:rsid w:val="00D72A89"/>
    <w:rsid w:val="00D838DA"/>
    <w:rsid w:val="00D9187C"/>
    <w:rsid w:val="00D957B8"/>
    <w:rsid w:val="00D97008"/>
    <w:rsid w:val="00DA3ED8"/>
    <w:rsid w:val="00DC4DAB"/>
    <w:rsid w:val="00DE207C"/>
    <w:rsid w:val="00DE2132"/>
    <w:rsid w:val="00DF2650"/>
    <w:rsid w:val="00E163CA"/>
    <w:rsid w:val="00E31C74"/>
    <w:rsid w:val="00E351F8"/>
    <w:rsid w:val="00E459D7"/>
    <w:rsid w:val="00E717C1"/>
    <w:rsid w:val="00E8053B"/>
    <w:rsid w:val="00E82D7E"/>
    <w:rsid w:val="00E83097"/>
    <w:rsid w:val="00EB5FEE"/>
    <w:rsid w:val="00EC47C8"/>
    <w:rsid w:val="00EE3A9F"/>
    <w:rsid w:val="00EE7549"/>
    <w:rsid w:val="00EF7798"/>
    <w:rsid w:val="00F44FC5"/>
    <w:rsid w:val="00F47B11"/>
    <w:rsid w:val="00F724E3"/>
    <w:rsid w:val="00F77760"/>
    <w:rsid w:val="00F778A3"/>
    <w:rsid w:val="00F8430B"/>
    <w:rsid w:val="00F9274D"/>
    <w:rsid w:val="00FA0F9E"/>
    <w:rsid w:val="00FA61C0"/>
    <w:rsid w:val="00FB1881"/>
    <w:rsid w:val="00FB18F3"/>
    <w:rsid w:val="00FD0340"/>
    <w:rsid w:val="00FE3489"/>
    <w:rsid w:val="00FF2CD2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C2"/>
  </w:style>
  <w:style w:type="paragraph" w:styleId="1">
    <w:name w:val="heading 1"/>
    <w:basedOn w:val="a"/>
    <w:link w:val="10"/>
    <w:uiPriority w:val="9"/>
    <w:qFormat/>
    <w:rsid w:val="001E0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36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7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0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07B1"/>
    <w:rPr>
      <w:b/>
      <w:bCs/>
    </w:rPr>
  </w:style>
  <w:style w:type="character" w:styleId="a5">
    <w:name w:val="Emphasis"/>
    <w:basedOn w:val="a0"/>
    <w:uiPriority w:val="20"/>
    <w:qFormat/>
    <w:rsid w:val="001E07B1"/>
    <w:rPr>
      <w:i/>
      <w:iCs/>
    </w:rPr>
  </w:style>
  <w:style w:type="character" w:customStyle="1" w:styleId="11">
    <w:name w:val="Заголовок №1_"/>
    <w:basedOn w:val="a0"/>
    <w:link w:val="12"/>
    <w:rsid w:val="005B47E8"/>
    <w:rPr>
      <w:rFonts w:ascii="Arial Narrow" w:eastAsia="Arial Narrow" w:hAnsi="Arial Narrow" w:cs="Arial Narrow"/>
      <w:b/>
      <w:bCs/>
      <w:sz w:val="47"/>
      <w:szCs w:val="47"/>
      <w:shd w:val="clear" w:color="auto" w:fill="FFFFFF"/>
    </w:rPr>
  </w:style>
  <w:style w:type="paragraph" w:customStyle="1" w:styleId="12">
    <w:name w:val="Заголовок №1"/>
    <w:basedOn w:val="a"/>
    <w:link w:val="11"/>
    <w:rsid w:val="005B47E8"/>
    <w:pPr>
      <w:widowControl w:val="0"/>
      <w:shd w:val="clear" w:color="auto" w:fill="FFFFFF"/>
      <w:spacing w:after="780" w:line="0" w:lineRule="atLeast"/>
      <w:jc w:val="right"/>
      <w:outlineLvl w:val="0"/>
    </w:pPr>
    <w:rPr>
      <w:rFonts w:ascii="Arial Narrow" w:eastAsia="Arial Narrow" w:hAnsi="Arial Narrow" w:cs="Arial Narrow"/>
      <w:b/>
      <w:bCs/>
      <w:sz w:val="47"/>
      <w:szCs w:val="47"/>
    </w:rPr>
  </w:style>
  <w:style w:type="paragraph" w:styleId="a6">
    <w:name w:val="List Paragraph"/>
    <w:basedOn w:val="a"/>
    <w:uiPriority w:val="34"/>
    <w:qFormat/>
    <w:rsid w:val="0001166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C9C"/>
  </w:style>
  <w:style w:type="paragraph" w:styleId="a9">
    <w:name w:val="footer"/>
    <w:basedOn w:val="a"/>
    <w:link w:val="aa"/>
    <w:uiPriority w:val="99"/>
    <w:unhideWhenUsed/>
    <w:rsid w:val="00874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C9C"/>
  </w:style>
  <w:style w:type="paragraph" w:styleId="ab">
    <w:name w:val="Balloon Text"/>
    <w:basedOn w:val="a"/>
    <w:link w:val="ac"/>
    <w:uiPriority w:val="99"/>
    <w:semiHidden/>
    <w:unhideWhenUsed/>
    <w:rsid w:val="00D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187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D9187C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ae">
    <w:name w:val="Основной текст с отступом Знак"/>
    <w:basedOn w:val="a0"/>
    <w:link w:val="ad"/>
    <w:rsid w:val="00D9187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AE36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3"/>
    <w:rsid w:val="00AE36D9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af0">
    <w:name w:val="Основной текст + Курсив"/>
    <w:basedOn w:val="af"/>
    <w:rsid w:val="00AE36D9"/>
    <w:rPr>
      <w:rFonts w:ascii="Georgia" w:eastAsia="Georgia" w:hAnsi="Georgia" w:cs="Georgia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fr-FR"/>
    </w:rPr>
  </w:style>
  <w:style w:type="paragraph" w:customStyle="1" w:styleId="13">
    <w:name w:val="Основной текст1"/>
    <w:basedOn w:val="a"/>
    <w:link w:val="af"/>
    <w:rsid w:val="00AE36D9"/>
    <w:pPr>
      <w:widowControl w:val="0"/>
      <w:shd w:val="clear" w:color="auto" w:fill="FFFFFF"/>
      <w:spacing w:before="180" w:after="0" w:line="240" w:lineRule="exact"/>
      <w:ind w:firstLine="280"/>
      <w:jc w:val="both"/>
    </w:pPr>
    <w:rPr>
      <w:rFonts w:ascii="Georgia" w:eastAsia="Georgia" w:hAnsi="Georgia" w:cs="Georgia"/>
      <w:sz w:val="17"/>
      <w:szCs w:val="17"/>
    </w:rPr>
  </w:style>
  <w:style w:type="character" w:customStyle="1" w:styleId="3">
    <w:name w:val="Основной текст (3)_"/>
    <w:basedOn w:val="a0"/>
    <w:link w:val="30"/>
    <w:rsid w:val="00AE3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E36D9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rsid w:val="00AE36D9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AE36D9"/>
    <w:rPr>
      <w:rFonts w:ascii="Tahoma" w:eastAsia="Tahoma" w:hAnsi="Tahoma" w:cs="Tahoma"/>
      <w:b/>
      <w:bCs/>
      <w:shd w:val="clear" w:color="auto" w:fill="FFFFFF"/>
    </w:rPr>
  </w:style>
  <w:style w:type="character" w:customStyle="1" w:styleId="af2">
    <w:name w:val="Основной текст + Полужирный"/>
    <w:basedOn w:val="af"/>
    <w:rsid w:val="00AE36D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customStyle="1" w:styleId="22">
    <w:name w:val="Заголовок №2"/>
    <w:basedOn w:val="a"/>
    <w:link w:val="21"/>
    <w:rsid w:val="00AE36D9"/>
    <w:pPr>
      <w:widowControl w:val="0"/>
      <w:shd w:val="clear" w:color="auto" w:fill="FFFFFF"/>
      <w:spacing w:before="780" w:after="180" w:line="0" w:lineRule="atLeast"/>
      <w:ind w:firstLine="280"/>
      <w:jc w:val="both"/>
      <w:outlineLvl w:val="1"/>
    </w:pPr>
    <w:rPr>
      <w:rFonts w:ascii="Tahoma" w:eastAsia="Tahoma" w:hAnsi="Tahoma" w:cs="Tahoma"/>
      <w:b/>
      <w:bCs/>
    </w:rPr>
  </w:style>
  <w:style w:type="character" w:customStyle="1" w:styleId="13pt">
    <w:name w:val="Основной текст + 13 pt;Полужирный;Курсив"/>
    <w:basedOn w:val="af"/>
    <w:rsid w:val="00AE36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Arial">
    <w:name w:val="Основной текст + Arial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Arial85pt">
    <w:name w:val="Основной текст + Arial;8;5 pt;Полужирный"/>
    <w:basedOn w:val="af"/>
    <w:rsid w:val="00AE36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0">
    <w:name w:val="Основной текст + Arial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85pt0">
    <w:name w:val="Основной текст + Arial;8;5 pt;Курсив"/>
    <w:basedOn w:val="af"/>
    <w:rsid w:val="00AE36D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Arial85pt1">
    <w:name w:val="Основной текст + Arial;8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character" w:customStyle="1" w:styleId="2Exact">
    <w:name w:val="Подпись к картинке (2) Exact"/>
    <w:basedOn w:val="a0"/>
    <w:link w:val="23"/>
    <w:rsid w:val="00AE36D9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Exact">
    <w:name w:val="Подпись к картинке Exact"/>
    <w:basedOn w:val="a0"/>
    <w:link w:val="af3"/>
    <w:rsid w:val="00AE36D9"/>
    <w:rPr>
      <w:rFonts w:ascii="Arial" w:eastAsia="Arial" w:hAnsi="Arial" w:cs="Arial"/>
      <w:b/>
      <w:bCs/>
      <w:spacing w:val="2"/>
      <w:sz w:val="18"/>
      <w:szCs w:val="18"/>
      <w:shd w:val="clear" w:color="auto" w:fill="FFFFFF"/>
    </w:rPr>
  </w:style>
  <w:style w:type="character" w:customStyle="1" w:styleId="3Exact">
    <w:name w:val="Подпись к картинке (3) Exact"/>
    <w:basedOn w:val="a0"/>
    <w:link w:val="31"/>
    <w:rsid w:val="00AE36D9"/>
    <w:rPr>
      <w:rFonts w:ascii="Arial" w:eastAsia="Arial" w:hAnsi="Arial" w:cs="Arial"/>
      <w:spacing w:val="6"/>
      <w:sz w:val="11"/>
      <w:szCs w:val="11"/>
      <w:shd w:val="clear" w:color="auto" w:fill="FFFFFF"/>
    </w:rPr>
  </w:style>
  <w:style w:type="character" w:customStyle="1" w:styleId="3Calibri65pt0ptExact">
    <w:name w:val="Подпись к картинке (3) + Calibri;6;5 pt;Полужирный;Курсив;Интервал 0 pt Exact"/>
    <w:basedOn w:val="3Exact"/>
    <w:rsid w:val="00AE36D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3Calibri4pt0ptExact">
    <w:name w:val="Подпись к картинке (3) + Calibri;4 pt;Курсив;Интервал 0 pt Exact"/>
    <w:basedOn w:val="3Exact"/>
    <w:rsid w:val="00AE36D9"/>
    <w:rPr>
      <w:rFonts w:ascii="Calibri" w:eastAsia="Calibri" w:hAnsi="Calibri" w:cs="Calibri"/>
      <w:i/>
      <w:iCs/>
      <w:color w:val="000000"/>
      <w:spacing w:val="0"/>
      <w:w w:val="100"/>
      <w:position w:val="0"/>
      <w:sz w:val="8"/>
      <w:szCs w:val="8"/>
      <w:shd w:val="clear" w:color="auto" w:fill="FFFFFF"/>
      <w:lang w:val="uk-UA"/>
    </w:rPr>
  </w:style>
  <w:style w:type="character" w:customStyle="1" w:styleId="Arial135pt">
    <w:name w:val="Основной текст + Arial;13;5 pt"/>
    <w:basedOn w:val="af"/>
    <w:rsid w:val="00AE36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3">
    <w:name w:val="Подпись к картинке (2)"/>
    <w:basedOn w:val="a"/>
    <w:link w:val="2Exact"/>
    <w:rsid w:val="00AE36D9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af3">
    <w:name w:val="Подпись к картинке"/>
    <w:basedOn w:val="a"/>
    <w:link w:val="Exact"/>
    <w:rsid w:val="00AE36D9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2"/>
      <w:sz w:val="18"/>
      <w:szCs w:val="18"/>
    </w:rPr>
  </w:style>
  <w:style w:type="paragraph" w:customStyle="1" w:styleId="31">
    <w:name w:val="Подпись к картинке (3)"/>
    <w:basedOn w:val="a"/>
    <w:link w:val="3Exact"/>
    <w:rsid w:val="00AE36D9"/>
    <w:pPr>
      <w:widowControl w:val="0"/>
      <w:shd w:val="clear" w:color="auto" w:fill="FFFFFF"/>
      <w:spacing w:before="60" w:after="0" w:line="0" w:lineRule="atLeast"/>
    </w:pPr>
    <w:rPr>
      <w:rFonts w:ascii="Arial" w:eastAsia="Arial" w:hAnsi="Arial" w:cs="Arial"/>
      <w:spacing w:val="6"/>
      <w:sz w:val="11"/>
      <w:szCs w:val="11"/>
    </w:rPr>
  </w:style>
  <w:style w:type="paragraph" w:customStyle="1" w:styleId="txt">
    <w:name w:val="txt"/>
    <w:basedOn w:val="a"/>
    <w:rsid w:val="00AE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AE36D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9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1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1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2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0CA5-980C-494B-AA12-752DE8CD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4251</Words>
  <Characters>24234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2020-05-24T23:51:00Z</dcterms:created>
  <dcterms:modified xsi:type="dcterms:W3CDTF">2020-05-24T23:53:00Z</dcterms:modified>
</cp:coreProperties>
</file>